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F158" w14:textId="77777777" w:rsidR="00C9011D" w:rsidRDefault="0E73E37C" w:rsidP="0E73E37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E73E37C">
        <w:rPr>
          <w:b/>
          <w:bCs/>
          <w:sz w:val="32"/>
          <w:szCs w:val="32"/>
        </w:rPr>
        <w:t>Self-Study/Benchmark Team Approach Grid</w:t>
      </w:r>
    </w:p>
    <w:p w14:paraId="71AC89AC" w14:textId="05F6AB10" w:rsidR="00224BDF" w:rsidRPr="00C9011D" w:rsidRDefault="0E73E37C" w:rsidP="0E73E37C">
      <w:pPr>
        <w:spacing w:after="0" w:line="240" w:lineRule="auto"/>
        <w:jc w:val="center"/>
        <w:rPr>
          <w:b/>
          <w:bCs/>
        </w:rPr>
      </w:pPr>
      <w:r w:rsidRPr="0E73E37C">
        <w:rPr>
          <w:b/>
          <w:bCs/>
        </w:rPr>
        <w:t xml:space="preserve">Department of Social Work Accreditation </w:t>
      </w:r>
    </w:p>
    <w:p w14:paraId="672A6659" w14:textId="2F2ABEF1" w:rsidR="00224BDF" w:rsidRPr="00C9011D" w:rsidRDefault="0E73E37C" w:rsidP="0E73E37C">
      <w:pPr>
        <w:spacing w:after="0" w:line="240" w:lineRule="auto"/>
        <w:jc w:val="center"/>
        <w:rPr>
          <w:b/>
          <w:bCs/>
        </w:rPr>
      </w:pPr>
      <w:r w:rsidRPr="0E73E37C">
        <w:rPr>
          <w:b/>
          <w:bCs/>
        </w:rPr>
        <w:t>Council on Social Work Education</w:t>
      </w:r>
    </w:p>
    <w:p w14:paraId="1D2508DD" w14:textId="2F62F8D0" w:rsidR="0E73E37C" w:rsidRDefault="0E73E37C" w:rsidP="0E73E37C">
      <w:pPr>
        <w:spacing w:after="0" w:line="240" w:lineRule="auto"/>
        <w:jc w:val="center"/>
        <w:rPr>
          <w:b/>
          <w:bCs/>
        </w:rPr>
      </w:pPr>
    </w:p>
    <w:p w14:paraId="0DA7CD66" w14:textId="66F9D27A" w:rsidR="00047B1E" w:rsidRDefault="00047B1E" w:rsidP="00047B1E">
      <w:pPr>
        <w:spacing w:after="0" w:line="240" w:lineRule="auto"/>
      </w:pPr>
      <w:r>
        <w:t xml:space="preserve">The Department of Social Work Accreditation (DOSWA) encourages </w:t>
      </w:r>
      <w:r w:rsidR="00A07443">
        <w:t xml:space="preserve">all </w:t>
      </w:r>
      <w:r w:rsidR="00A07443" w:rsidRPr="00A07443">
        <w:t xml:space="preserve">administrators, full-time and part-time faculty, staff, students, field instructors, board members and </w:t>
      </w:r>
      <w:r>
        <w:t xml:space="preserve">other relevant program stakeholders to understand and actively participate in the accreditation process. </w:t>
      </w:r>
      <w:r w:rsidR="00A07443">
        <w:t>Continuous a</w:t>
      </w:r>
      <w:r>
        <w:t>ccreditation efforts</w:t>
      </w:r>
      <w:r w:rsidR="00A07443">
        <w:t>, including periodic reaffirmation reviews,</w:t>
      </w:r>
      <w:r>
        <w:t xml:space="preserve"> are owned by and affect the entire program. Thus, team-based approaches are highly recommended. </w:t>
      </w:r>
      <w:r w:rsidR="002E5D32">
        <w:t xml:space="preserve">Programs are solely responsible for maintaining compliance with the EPAS. </w:t>
      </w:r>
      <w:bookmarkStart w:id="0" w:name="_GoBack"/>
      <w:bookmarkEnd w:id="0"/>
    </w:p>
    <w:p w14:paraId="41AFBB0E" w14:textId="77777777" w:rsidR="00047B1E" w:rsidRDefault="00047B1E" w:rsidP="00B36F4D">
      <w:pPr>
        <w:spacing w:after="0" w:line="240" w:lineRule="auto"/>
      </w:pPr>
    </w:p>
    <w:p w14:paraId="6451FB08" w14:textId="329CBA9C" w:rsidR="00BA7126" w:rsidRDefault="00B36F4D" w:rsidP="00B36F4D">
      <w:pPr>
        <w:spacing w:after="0" w:line="240" w:lineRule="auto"/>
      </w:pPr>
      <w:r>
        <w:t xml:space="preserve">Accreditation is a system for recognizing educational institutions and professional programs affiliated with those institutions as having a level of performance, integrity, and quality that entitles them to the confidence of the educational community and the public they serve. </w:t>
      </w:r>
    </w:p>
    <w:p w14:paraId="181CF901" w14:textId="77777777" w:rsidR="00BA7126" w:rsidRDefault="00BA7126" w:rsidP="00B36F4D">
      <w:pPr>
        <w:spacing w:after="0" w:line="240" w:lineRule="auto"/>
      </w:pPr>
    </w:p>
    <w:p w14:paraId="4DBC5285" w14:textId="38185260" w:rsidR="00B36F4D" w:rsidRDefault="00B36F4D" w:rsidP="00B36F4D">
      <w:pPr>
        <w:spacing w:after="0" w:line="240" w:lineRule="auto"/>
      </w:pPr>
      <w:r>
        <w:t>The purposes of accreditation are:</w:t>
      </w:r>
    </w:p>
    <w:p w14:paraId="5E12EE35" w14:textId="77777777" w:rsidR="00B36F4D" w:rsidRDefault="00B36F4D" w:rsidP="00B36F4D">
      <w:pPr>
        <w:pStyle w:val="ListParagraph"/>
        <w:numPr>
          <w:ilvl w:val="0"/>
          <w:numId w:val="1"/>
        </w:numPr>
        <w:spacing w:after="0" w:line="240" w:lineRule="auto"/>
      </w:pPr>
      <w:r>
        <w:t>quality assurance;</w:t>
      </w:r>
    </w:p>
    <w:p w14:paraId="63877002" w14:textId="77777777" w:rsidR="00B36F4D" w:rsidRDefault="00B36F4D" w:rsidP="00B36F4D">
      <w:pPr>
        <w:pStyle w:val="ListParagraph"/>
        <w:numPr>
          <w:ilvl w:val="0"/>
          <w:numId w:val="1"/>
        </w:numPr>
        <w:spacing w:after="0" w:line="240" w:lineRule="auto"/>
      </w:pPr>
      <w:r>
        <w:t>academic improvement; and</w:t>
      </w:r>
    </w:p>
    <w:p w14:paraId="279AE9F1" w14:textId="77777777" w:rsidR="000A60FA" w:rsidRDefault="00B36F4D" w:rsidP="00B36F4D">
      <w:pPr>
        <w:pStyle w:val="ListParagraph"/>
        <w:numPr>
          <w:ilvl w:val="0"/>
          <w:numId w:val="1"/>
        </w:numPr>
        <w:spacing w:after="0" w:line="240" w:lineRule="auto"/>
      </w:pPr>
      <w:r>
        <w:t>public accountability.</w:t>
      </w:r>
    </w:p>
    <w:p w14:paraId="0A37501D" w14:textId="77777777" w:rsidR="00B36F4D" w:rsidRDefault="00B36F4D" w:rsidP="00B36F4D">
      <w:pPr>
        <w:spacing w:after="0" w:line="240" w:lineRule="auto"/>
      </w:pPr>
    </w:p>
    <w:p w14:paraId="4A3EE590" w14:textId="29EDC8EA" w:rsidR="000A60FA" w:rsidRDefault="00B36F4D" w:rsidP="00B36F4D">
      <w:pPr>
        <w:spacing w:after="0" w:line="240" w:lineRule="auto"/>
      </w:pPr>
      <w:r>
        <w:t>T</w:t>
      </w:r>
      <w:r w:rsidR="000A60FA">
        <w:t xml:space="preserve">he process expands beyond quality control. It's a developmental, reflective, and renewal process by which </w:t>
      </w:r>
      <w:r w:rsidR="00C32918">
        <w:t xml:space="preserve">administrators, </w:t>
      </w:r>
      <w:r w:rsidR="00BE6A31">
        <w:t xml:space="preserve">full-time and part-time </w:t>
      </w:r>
      <w:r w:rsidR="000A60FA">
        <w:t>faculty, staff, students</w:t>
      </w:r>
      <w:r>
        <w:t xml:space="preserve">, </w:t>
      </w:r>
      <w:r w:rsidR="00BE6A31">
        <w:t xml:space="preserve">field instructors, </w:t>
      </w:r>
      <w:r w:rsidR="00C32918">
        <w:t xml:space="preserve">board members </w:t>
      </w:r>
      <w:r>
        <w:t xml:space="preserve">and other program stakeholders </w:t>
      </w:r>
      <w:r w:rsidR="000A60FA">
        <w:t>craft excellent educational experiences to prepare competent social work practitioners.</w:t>
      </w:r>
    </w:p>
    <w:p w14:paraId="5DAB6C7B" w14:textId="77777777" w:rsidR="00B36F4D" w:rsidRDefault="00B36F4D" w:rsidP="00B36F4D">
      <w:pPr>
        <w:spacing w:after="0" w:line="240" w:lineRule="auto"/>
      </w:pPr>
    </w:p>
    <w:p w14:paraId="7DB8F532" w14:textId="77777777" w:rsidR="00F00541" w:rsidRDefault="000A60FA" w:rsidP="00B36F4D">
      <w:pPr>
        <w:spacing w:after="0" w:line="240" w:lineRule="auto"/>
      </w:pPr>
      <w:r>
        <w:t xml:space="preserve">CSWE’s Commission on Accreditation (COA) </w:t>
      </w:r>
      <w:r w:rsidR="009E11F5" w:rsidRPr="009E11F5">
        <w:t>is recognized by the Council for Higher Education Accreditation</w:t>
      </w:r>
      <w:r w:rsidR="009E11F5">
        <w:t xml:space="preserve"> (CHEA)</w:t>
      </w:r>
      <w:r w:rsidR="009E11F5" w:rsidRPr="009E11F5">
        <w:t xml:space="preserve"> as the sole accrediting agency for social work education in the United States and its territories. </w:t>
      </w:r>
      <w:r w:rsidR="009E11F5">
        <w:t xml:space="preserve">The COA has established an </w:t>
      </w:r>
      <w:r>
        <w:t xml:space="preserve">intentional </w:t>
      </w:r>
      <w:r w:rsidR="00B36F4D">
        <w:t xml:space="preserve">programmatic </w:t>
      </w:r>
      <w:r>
        <w:t>peer review accreditation model. COA members review program</w:t>
      </w:r>
      <w:r w:rsidR="009E11F5">
        <w:t>’s documents, issue letters of instructions to site visitors</w:t>
      </w:r>
      <w:r>
        <w:t xml:space="preserve">, visit </w:t>
      </w:r>
      <w:r w:rsidR="00B36F4D">
        <w:t xml:space="preserve">and provide constructive feedback to </w:t>
      </w:r>
      <w:r>
        <w:t>new</w:t>
      </w:r>
      <w:r w:rsidR="00B36F4D">
        <w:t xml:space="preserve"> </w:t>
      </w:r>
      <w:r>
        <w:t xml:space="preserve">programs, and set the standards for the next decade of social work education. </w:t>
      </w:r>
      <w:r w:rsidR="009E11F5">
        <w:t>Learn more about the COA’s structure, policies, and procedures in the EPAS Handbook</w:t>
      </w:r>
      <w:r w:rsidR="00B36F4D">
        <w:t xml:space="preserve"> at </w:t>
      </w:r>
      <w:hyperlink r:id="rId7" w:history="1">
        <w:r w:rsidR="00B36F4D" w:rsidRPr="00221905">
          <w:rPr>
            <w:rStyle w:val="Hyperlink"/>
          </w:rPr>
          <w:t>www.cswe.org</w:t>
        </w:r>
      </w:hyperlink>
      <w:r w:rsidR="009E11F5">
        <w:t xml:space="preserve">. </w:t>
      </w:r>
    </w:p>
    <w:p w14:paraId="6A05A809" w14:textId="77777777" w:rsidR="00B36F4D" w:rsidRDefault="00B36F4D" w:rsidP="00B36F4D">
      <w:pPr>
        <w:spacing w:after="0" w:line="240" w:lineRule="auto"/>
      </w:pPr>
    </w:p>
    <w:p w14:paraId="326E53FE" w14:textId="1A8258B1" w:rsidR="00C9011D" w:rsidRDefault="0E73E37C" w:rsidP="0E73E37C">
      <w:pPr>
        <w:spacing w:after="0" w:line="240" w:lineRule="auto"/>
        <w:rPr>
          <w:i/>
          <w:iCs/>
        </w:rPr>
      </w:pPr>
      <w:r w:rsidRPr="0E73E37C">
        <w:rPr>
          <w:b/>
          <w:bCs/>
          <w:i/>
          <w:iCs/>
        </w:rPr>
        <w:t>Note:</w:t>
      </w:r>
      <w:r w:rsidRPr="0E73E37C">
        <w:rPr>
          <w:i/>
          <w:iCs/>
        </w:rPr>
        <w:t xml:space="preserve"> This is an </w:t>
      </w:r>
      <w:r w:rsidRPr="0E73E37C">
        <w:rPr>
          <w:i/>
          <w:iCs/>
          <w:u w:val="single"/>
        </w:rPr>
        <w:t>optional</w:t>
      </w:r>
      <w:r w:rsidRPr="0E73E37C">
        <w:rPr>
          <w:i/>
          <w:iCs/>
        </w:rPr>
        <w:t xml:space="preserve"> tool developed by the DOSWA to assist in EPAS alignment and the self-study/benchmark writing process. This tool may be helpful in delegating efforts to complete the self-study for reaffirmation or the benchmark for candidacy. It is not a required form nor required for compliance with the accreditation standards. Feel free to edit, modify, or alter this grid to assist your team in implementing a new set of standards or writing an accreditation document. </w:t>
      </w:r>
    </w:p>
    <w:p w14:paraId="5A39BBE3" w14:textId="77777777" w:rsidR="00B36F4D" w:rsidRPr="00B36F4D" w:rsidRDefault="00224BDF" w:rsidP="00224BDF">
      <w:pPr>
        <w:rPr>
          <w:i/>
        </w:rPr>
      </w:pPr>
      <w:r>
        <w:rPr>
          <w:i/>
        </w:rP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071"/>
        <w:gridCol w:w="1594"/>
        <w:gridCol w:w="1588"/>
        <w:gridCol w:w="1670"/>
        <w:gridCol w:w="1611"/>
        <w:gridCol w:w="1670"/>
        <w:gridCol w:w="1611"/>
        <w:gridCol w:w="1670"/>
      </w:tblGrid>
      <w:tr w:rsidR="00C9011D" w14:paraId="3145D8B7" w14:textId="77777777" w:rsidTr="00224BDF">
        <w:tc>
          <w:tcPr>
            <w:tcW w:w="3145" w:type="dxa"/>
            <w:vAlign w:val="center"/>
          </w:tcPr>
          <w:p w14:paraId="05DE4EDF" w14:textId="3C846F65" w:rsidR="00E8272F" w:rsidRDefault="00E8272F" w:rsidP="00C901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2015 EPAS</w:t>
            </w:r>
          </w:p>
          <w:p w14:paraId="3FB239E0" w14:textId="77777777" w:rsidR="00E8272F" w:rsidRDefault="00E8272F" w:rsidP="00C9011D">
            <w:pPr>
              <w:jc w:val="center"/>
              <w:rPr>
                <w:b/>
              </w:rPr>
            </w:pPr>
          </w:p>
          <w:p w14:paraId="03E12EA8" w14:textId="4E5AA0F9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Standard</w:t>
            </w:r>
          </w:p>
        </w:tc>
        <w:tc>
          <w:tcPr>
            <w:tcW w:w="1620" w:type="dxa"/>
            <w:vAlign w:val="center"/>
          </w:tcPr>
          <w:p w14:paraId="6121E813" w14:textId="77777777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Primary Writer</w:t>
            </w:r>
          </w:p>
        </w:tc>
        <w:tc>
          <w:tcPr>
            <w:tcW w:w="1620" w:type="dxa"/>
            <w:vAlign w:val="center"/>
          </w:tcPr>
          <w:p w14:paraId="05A386BF" w14:textId="6935FAF3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Editor</w:t>
            </w:r>
            <w:r w:rsidR="009F5D1D">
              <w:rPr>
                <w:b/>
              </w:rPr>
              <w:t>*</w:t>
            </w:r>
          </w:p>
        </w:tc>
        <w:tc>
          <w:tcPr>
            <w:tcW w:w="1620" w:type="dxa"/>
            <w:vAlign w:val="center"/>
          </w:tcPr>
          <w:p w14:paraId="4FF469CC" w14:textId="67C70501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1</w:t>
            </w:r>
            <w:r w:rsidRPr="00C9011D">
              <w:rPr>
                <w:b/>
                <w:vertAlign w:val="superscript"/>
              </w:rPr>
              <w:t>st</w:t>
            </w:r>
            <w:r w:rsidRPr="00C9011D">
              <w:rPr>
                <w:b/>
              </w:rPr>
              <w:t xml:space="preserve"> Draft Due</w:t>
            </w:r>
            <w:r w:rsidR="00765150">
              <w:rPr>
                <w:b/>
              </w:rPr>
              <w:t xml:space="preserve"> to Primary Writer/Editor</w:t>
            </w:r>
          </w:p>
        </w:tc>
        <w:tc>
          <w:tcPr>
            <w:tcW w:w="1620" w:type="dxa"/>
            <w:vAlign w:val="center"/>
          </w:tcPr>
          <w:p w14:paraId="6F1DE439" w14:textId="77777777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Suggested Changes to Align with EPAS</w:t>
            </w:r>
          </w:p>
        </w:tc>
        <w:tc>
          <w:tcPr>
            <w:tcW w:w="1620" w:type="dxa"/>
            <w:vAlign w:val="center"/>
          </w:tcPr>
          <w:p w14:paraId="00195ADC" w14:textId="3A764107" w:rsidR="00765150" w:rsidRPr="00C9011D" w:rsidRDefault="00C9011D" w:rsidP="00765150">
            <w:pPr>
              <w:jc w:val="center"/>
              <w:rPr>
                <w:b/>
              </w:rPr>
            </w:pPr>
            <w:r w:rsidRPr="00C9011D">
              <w:rPr>
                <w:b/>
              </w:rPr>
              <w:t>2</w:t>
            </w:r>
            <w:r w:rsidRPr="00C9011D">
              <w:rPr>
                <w:b/>
                <w:vertAlign w:val="superscript"/>
              </w:rPr>
              <w:t>nd</w:t>
            </w:r>
            <w:r w:rsidRPr="00C9011D">
              <w:rPr>
                <w:b/>
              </w:rPr>
              <w:t xml:space="preserve"> Draft Due</w:t>
            </w:r>
            <w:r w:rsidR="00765150">
              <w:rPr>
                <w:b/>
              </w:rPr>
              <w:t xml:space="preserve"> </w:t>
            </w:r>
            <w:r w:rsidR="00765150">
              <w:rPr>
                <w:b/>
              </w:rPr>
              <w:t>to Primary Writer/Editor</w:t>
            </w:r>
          </w:p>
        </w:tc>
        <w:tc>
          <w:tcPr>
            <w:tcW w:w="1620" w:type="dxa"/>
            <w:vAlign w:val="center"/>
          </w:tcPr>
          <w:p w14:paraId="4ACA90B5" w14:textId="77777777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Suggested Changes to Align with EPAS</w:t>
            </w:r>
          </w:p>
        </w:tc>
        <w:tc>
          <w:tcPr>
            <w:tcW w:w="1620" w:type="dxa"/>
            <w:vAlign w:val="center"/>
          </w:tcPr>
          <w:p w14:paraId="6946C736" w14:textId="34726925" w:rsidR="00C9011D" w:rsidRPr="00C9011D" w:rsidRDefault="00C9011D" w:rsidP="00C9011D">
            <w:pPr>
              <w:jc w:val="center"/>
              <w:rPr>
                <w:b/>
              </w:rPr>
            </w:pPr>
            <w:r w:rsidRPr="00C9011D">
              <w:rPr>
                <w:b/>
              </w:rPr>
              <w:t>Final Version Due</w:t>
            </w:r>
            <w:r w:rsidR="00765150">
              <w:rPr>
                <w:b/>
              </w:rPr>
              <w:t xml:space="preserve"> </w:t>
            </w:r>
            <w:r w:rsidR="00765150">
              <w:rPr>
                <w:b/>
              </w:rPr>
              <w:t>to Primary Writer/Editor</w:t>
            </w:r>
          </w:p>
        </w:tc>
      </w:tr>
      <w:tr w:rsidR="00C9011D" w14:paraId="5DD459EA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4B3AA50C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1.0</w:t>
            </w:r>
          </w:p>
          <w:p w14:paraId="45F5FDFA" w14:textId="77777777" w:rsidR="00C9011D" w:rsidRDefault="00224BDF" w:rsidP="008039D0">
            <w:r w:rsidRPr="00224BDF">
              <w:t>Program Mission and Goals</w:t>
            </w:r>
          </w:p>
        </w:tc>
        <w:tc>
          <w:tcPr>
            <w:tcW w:w="1620" w:type="dxa"/>
            <w:vAlign w:val="center"/>
          </w:tcPr>
          <w:p w14:paraId="41C8F396" w14:textId="77777777" w:rsidR="00C9011D" w:rsidRDefault="00C9011D" w:rsidP="008039D0"/>
        </w:tc>
        <w:tc>
          <w:tcPr>
            <w:tcW w:w="1620" w:type="dxa"/>
            <w:vAlign w:val="center"/>
          </w:tcPr>
          <w:p w14:paraId="72A3D3EC" w14:textId="77777777" w:rsidR="00C9011D" w:rsidRDefault="00C9011D" w:rsidP="008039D0"/>
        </w:tc>
        <w:tc>
          <w:tcPr>
            <w:tcW w:w="1620" w:type="dxa"/>
            <w:vAlign w:val="center"/>
          </w:tcPr>
          <w:p w14:paraId="0D0B940D" w14:textId="77777777" w:rsidR="00C9011D" w:rsidRDefault="00C9011D" w:rsidP="008039D0"/>
        </w:tc>
        <w:tc>
          <w:tcPr>
            <w:tcW w:w="1620" w:type="dxa"/>
            <w:vAlign w:val="center"/>
          </w:tcPr>
          <w:p w14:paraId="0E27B00A" w14:textId="77777777" w:rsidR="00C9011D" w:rsidRDefault="00C9011D" w:rsidP="008039D0"/>
        </w:tc>
        <w:tc>
          <w:tcPr>
            <w:tcW w:w="1620" w:type="dxa"/>
            <w:vAlign w:val="center"/>
          </w:tcPr>
          <w:p w14:paraId="60061E4C" w14:textId="77777777" w:rsidR="00C9011D" w:rsidRDefault="00C9011D" w:rsidP="008039D0"/>
        </w:tc>
        <w:tc>
          <w:tcPr>
            <w:tcW w:w="1620" w:type="dxa"/>
            <w:vAlign w:val="center"/>
          </w:tcPr>
          <w:p w14:paraId="44EAFD9C" w14:textId="77777777" w:rsidR="00C9011D" w:rsidRDefault="00C9011D" w:rsidP="008039D0"/>
        </w:tc>
        <w:tc>
          <w:tcPr>
            <w:tcW w:w="1620" w:type="dxa"/>
            <w:vAlign w:val="center"/>
          </w:tcPr>
          <w:p w14:paraId="4B94D5A5" w14:textId="77777777" w:rsidR="00C9011D" w:rsidRDefault="00C9011D" w:rsidP="008039D0"/>
        </w:tc>
      </w:tr>
      <w:tr w:rsidR="00C9011D" w14:paraId="4DAEAACF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2E36D411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B/M 2.0</w:t>
            </w:r>
          </w:p>
          <w:p w14:paraId="1DA0FCCE" w14:textId="77777777" w:rsidR="00C9011D" w:rsidRDefault="00224BDF" w:rsidP="008039D0">
            <w:r w:rsidRPr="00224BDF">
              <w:t>Generalist Practice</w:t>
            </w:r>
          </w:p>
        </w:tc>
        <w:tc>
          <w:tcPr>
            <w:tcW w:w="1620" w:type="dxa"/>
            <w:vAlign w:val="center"/>
          </w:tcPr>
          <w:p w14:paraId="3DEEC669" w14:textId="77777777" w:rsidR="00C9011D" w:rsidRDefault="00C9011D" w:rsidP="008039D0"/>
        </w:tc>
        <w:tc>
          <w:tcPr>
            <w:tcW w:w="1620" w:type="dxa"/>
            <w:vAlign w:val="center"/>
          </w:tcPr>
          <w:p w14:paraId="3656B9AB" w14:textId="77777777" w:rsidR="00C9011D" w:rsidRDefault="00C9011D" w:rsidP="008039D0"/>
        </w:tc>
        <w:tc>
          <w:tcPr>
            <w:tcW w:w="1620" w:type="dxa"/>
            <w:vAlign w:val="center"/>
          </w:tcPr>
          <w:p w14:paraId="45FB0818" w14:textId="77777777" w:rsidR="00C9011D" w:rsidRDefault="00C9011D" w:rsidP="008039D0"/>
        </w:tc>
        <w:tc>
          <w:tcPr>
            <w:tcW w:w="1620" w:type="dxa"/>
            <w:vAlign w:val="center"/>
          </w:tcPr>
          <w:p w14:paraId="049F31CB" w14:textId="77777777" w:rsidR="00C9011D" w:rsidRDefault="00C9011D" w:rsidP="008039D0"/>
        </w:tc>
        <w:tc>
          <w:tcPr>
            <w:tcW w:w="1620" w:type="dxa"/>
            <w:vAlign w:val="center"/>
          </w:tcPr>
          <w:p w14:paraId="53128261" w14:textId="77777777" w:rsidR="00C9011D" w:rsidRDefault="00C9011D" w:rsidP="008039D0"/>
        </w:tc>
        <w:tc>
          <w:tcPr>
            <w:tcW w:w="1620" w:type="dxa"/>
            <w:vAlign w:val="center"/>
          </w:tcPr>
          <w:p w14:paraId="62486C05" w14:textId="77777777" w:rsidR="00C9011D" w:rsidRDefault="00C9011D" w:rsidP="008039D0"/>
        </w:tc>
        <w:tc>
          <w:tcPr>
            <w:tcW w:w="1620" w:type="dxa"/>
            <w:vAlign w:val="center"/>
          </w:tcPr>
          <w:p w14:paraId="4101652C" w14:textId="77777777" w:rsidR="00C9011D" w:rsidRDefault="00C9011D" w:rsidP="008039D0"/>
        </w:tc>
      </w:tr>
      <w:tr w:rsidR="00C9011D" w14:paraId="45869514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3863C2CF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M2.1</w:t>
            </w:r>
          </w:p>
          <w:p w14:paraId="4FD87A0C" w14:textId="77777777" w:rsidR="00C9011D" w:rsidRDefault="00224BDF" w:rsidP="008039D0">
            <w:r w:rsidRPr="00224BDF">
              <w:t>Specialized Practice</w:t>
            </w:r>
          </w:p>
        </w:tc>
        <w:tc>
          <w:tcPr>
            <w:tcW w:w="1620" w:type="dxa"/>
            <w:vAlign w:val="center"/>
          </w:tcPr>
          <w:p w14:paraId="4B99056E" w14:textId="77777777" w:rsidR="00C9011D" w:rsidRDefault="00C9011D" w:rsidP="008039D0"/>
        </w:tc>
        <w:tc>
          <w:tcPr>
            <w:tcW w:w="1620" w:type="dxa"/>
            <w:vAlign w:val="center"/>
          </w:tcPr>
          <w:p w14:paraId="1299C43A" w14:textId="77777777" w:rsidR="00C9011D" w:rsidRDefault="00C9011D" w:rsidP="008039D0"/>
        </w:tc>
        <w:tc>
          <w:tcPr>
            <w:tcW w:w="1620" w:type="dxa"/>
            <w:vAlign w:val="center"/>
          </w:tcPr>
          <w:p w14:paraId="4DDBEF00" w14:textId="77777777" w:rsidR="00C9011D" w:rsidRDefault="00C9011D" w:rsidP="008039D0"/>
        </w:tc>
        <w:tc>
          <w:tcPr>
            <w:tcW w:w="1620" w:type="dxa"/>
            <w:vAlign w:val="center"/>
          </w:tcPr>
          <w:p w14:paraId="3461D779" w14:textId="77777777" w:rsidR="00C9011D" w:rsidRDefault="00C9011D" w:rsidP="008039D0"/>
        </w:tc>
        <w:tc>
          <w:tcPr>
            <w:tcW w:w="1620" w:type="dxa"/>
            <w:vAlign w:val="center"/>
          </w:tcPr>
          <w:p w14:paraId="3CF2D8B6" w14:textId="77777777" w:rsidR="00C9011D" w:rsidRDefault="00C9011D" w:rsidP="008039D0"/>
        </w:tc>
        <w:tc>
          <w:tcPr>
            <w:tcW w:w="1620" w:type="dxa"/>
            <w:vAlign w:val="center"/>
          </w:tcPr>
          <w:p w14:paraId="0FB78278" w14:textId="77777777" w:rsidR="00C9011D" w:rsidRDefault="00C9011D" w:rsidP="008039D0"/>
        </w:tc>
        <w:tc>
          <w:tcPr>
            <w:tcW w:w="1620" w:type="dxa"/>
            <w:vAlign w:val="center"/>
          </w:tcPr>
          <w:p w14:paraId="1FC39945" w14:textId="77777777" w:rsidR="00C9011D" w:rsidRDefault="00C9011D" w:rsidP="008039D0"/>
        </w:tc>
      </w:tr>
      <w:tr w:rsidR="00C9011D" w14:paraId="35B3DFDD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24672A24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2.2</w:t>
            </w:r>
          </w:p>
          <w:p w14:paraId="38E44B6E" w14:textId="77777777" w:rsidR="00C9011D" w:rsidRDefault="00224BDF" w:rsidP="008039D0">
            <w:r w:rsidRPr="00224BDF">
              <w:t>Field Education</w:t>
            </w:r>
          </w:p>
        </w:tc>
        <w:tc>
          <w:tcPr>
            <w:tcW w:w="1620" w:type="dxa"/>
            <w:vAlign w:val="center"/>
          </w:tcPr>
          <w:p w14:paraId="0562CB0E" w14:textId="77777777" w:rsidR="00C9011D" w:rsidRDefault="00C9011D" w:rsidP="008039D0"/>
        </w:tc>
        <w:tc>
          <w:tcPr>
            <w:tcW w:w="1620" w:type="dxa"/>
            <w:vAlign w:val="center"/>
          </w:tcPr>
          <w:p w14:paraId="34CE0A41" w14:textId="77777777" w:rsidR="00C9011D" w:rsidRDefault="00C9011D" w:rsidP="008039D0"/>
        </w:tc>
        <w:tc>
          <w:tcPr>
            <w:tcW w:w="1620" w:type="dxa"/>
            <w:vAlign w:val="center"/>
          </w:tcPr>
          <w:p w14:paraId="62EBF3C5" w14:textId="77777777" w:rsidR="00C9011D" w:rsidRDefault="00C9011D" w:rsidP="008039D0"/>
        </w:tc>
        <w:tc>
          <w:tcPr>
            <w:tcW w:w="1620" w:type="dxa"/>
            <w:vAlign w:val="center"/>
          </w:tcPr>
          <w:p w14:paraId="6D98A12B" w14:textId="77777777" w:rsidR="00C9011D" w:rsidRDefault="00C9011D" w:rsidP="008039D0"/>
        </w:tc>
        <w:tc>
          <w:tcPr>
            <w:tcW w:w="1620" w:type="dxa"/>
            <w:vAlign w:val="center"/>
          </w:tcPr>
          <w:p w14:paraId="2946DB82" w14:textId="77777777" w:rsidR="00C9011D" w:rsidRDefault="00C9011D" w:rsidP="008039D0"/>
        </w:tc>
        <w:tc>
          <w:tcPr>
            <w:tcW w:w="1620" w:type="dxa"/>
            <w:vAlign w:val="center"/>
          </w:tcPr>
          <w:p w14:paraId="5997CC1D" w14:textId="77777777" w:rsidR="00C9011D" w:rsidRDefault="00C9011D" w:rsidP="008039D0"/>
        </w:tc>
        <w:tc>
          <w:tcPr>
            <w:tcW w:w="1620" w:type="dxa"/>
            <w:vAlign w:val="center"/>
          </w:tcPr>
          <w:p w14:paraId="110FFD37" w14:textId="77777777" w:rsidR="00C9011D" w:rsidRDefault="00C9011D" w:rsidP="008039D0"/>
        </w:tc>
      </w:tr>
      <w:tr w:rsidR="00C9011D" w14:paraId="620269A7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286B0249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3.0</w:t>
            </w:r>
          </w:p>
          <w:p w14:paraId="4DF6D04B" w14:textId="77777777" w:rsidR="00C9011D" w:rsidRDefault="00224BDF" w:rsidP="008039D0">
            <w:r w:rsidRPr="00224BDF">
              <w:t>Diversity</w:t>
            </w:r>
          </w:p>
        </w:tc>
        <w:tc>
          <w:tcPr>
            <w:tcW w:w="1620" w:type="dxa"/>
            <w:vAlign w:val="center"/>
          </w:tcPr>
          <w:p w14:paraId="6B699379" w14:textId="77777777" w:rsidR="00C9011D" w:rsidRDefault="00C9011D" w:rsidP="008039D0"/>
        </w:tc>
        <w:tc>
          <w:tcPr>
            <w:tcW w:w="1620" w:type="dxa"/>
            <w:vAlign w:val="center"/>
          </w:tcPr>
          <w:p w14:paraId="3FE9F23F" w14:textId="77777777" w:rsidR="00C9011D" w:rsidRDefault="00C9011D" w:rsidP="008039D0"/>
        </w:tc>
        <w:tc>
          <w:tcPr>
            <w:tcW w:w="1620" w:type="dxa"/>
            <w:vAlign w:val="center"/>
          </w:tcPr>
          <w:p w14:paraId="1F72F646" w14:textId="77777777" w:rsidR="00C9011D" w:rsidRDefault="00C9011D" w:rsidP="008039D0"/>
        </w:tc>
        <w:tc>
          <w:tcPr>
            <w:tcW w:w="1620" w:type="dxa"/>
            <w:vAlign w:val="center"/>
          </w:tcPr>
          <w:p w14:paraId="08CE6F91" w14:textId="77777777" w:rsidR="00C9011D" w:rsidRDefault="00C9011D" w:rsidP="008039D0"/>
        </w:tc>
        <w:tc>
          <w:tcPr>
            <w:tcW w:w="1620" w:type="dxa"/>
            <w:vAlign w:val="center"/>
          </w:tcPr>
          <w:p w14:paraId="61CDCEAD" w14:textId="77777777" w:rsidR="00C9011D" w:rsidRDefault="00C9011D" w:rsidP="008039D0"/>
        </w:tc>
        <w:tc>
          <w:tcPr>
            <w:tcW w:w="1620" w:type="dxa"/>
            <w:vAlign w:val="center"/>
          </w:tcPr>
          <w:p w14:paraId="6BB9E253" w14:textId="77777777" w:rsidR="00C9011D" w:rsidRDefault="00C9011D" w:rsidP="008039D0"/>
        </w:tc>
        <w:tc>
          <w:tcPr>
            <w:tcW w:w="1620" w:type="dxa"/>
            <w:vAlign w:val="center"/>
          </w:tcPr>
          <w:p w14:paraId="23DE523C" w14:textId="77777777" w:rsidR="00C9011D" w:rsidRDefault="00C9011D" w:rsidP="008039D0"/>
        </w:tc>
      </w:tr>
      <w:tr w:rsidR="00C9011D" w14:paraId="38F47522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2F7BA2E8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3.1</w:t>
            </w:r>
          </w:p>
          <w:p w14:paraId="5D0ED5E2" w14:textId="77777777" w:rsidR="00C9011D" w:rsidRDefault="00224BDF" w:rsidP="008039D0">
            <w:r>
              <w:t>Student Development: Admissions; Advisement, Retention, and Termination; and Student Participation</w:t>
            </w:r>
          </w:p>
        </w:tc>
        <w:tc>
          <w:tcPr>
            <w:tcW w:w="1620" w:type="dxa"/>
            <w:vAlign w:val="center"/>
          </w:tcPr>
          <w:p w14:paraId="52E56223" w14:textId="77777777" w:rsidR="00C9011D" w:rsidRDefault="00C9011D" w:rsidP="008039D0"/>
        </w:tc>
        <w:tc>
          <w:tcPr>
            <w:tcW w:w="1620" w:type="dxa"/>
            <w:vAlign w:val="center"/>
          </w:tcPr>
          <w:p w14:paraId="07547A01" w14:textId="77777777" w:rsidR="00C9011D" w:rsidRDefault="00C9011D" w:rsidP="008039D0"/>
        </w:tc>
        <w:tc>
          <w:tcPr>
            <w:tcW w:w="1620" w:type="dxa"/>
            <w:vAlign w:val="center"/>
          </w:tcPr>
          <w:p w14:paraId="5043CB0F" w14:textId="77777777" w:rsidR="00C9011D" w:rsidRDefault="00C9011D" w:rsidP="008039D0"/>
        </w:tc>
        <w:tc>
          <w:tcPr>
            <w:tcW w:w="1620" w:type="dxa"/>
            <w:vAlign w:val="center"/>
          </w:tcPr>
          <w:p w14:paraId="07459315" w14:textId="77777777" w:rsidR="00C9011D" w:rsidRDefault="00C9011D" w:rsidP="008039D0"/>
        </w:tc>
        <w:tc>
          <w:tcPr>
            <w:tcW w:w="1620" w:type="dxa"/>
            <w:vAlign w:val="center"/>
          </w:tcPr>
          <w:p w14:paraId="6537F28F" w14:textId="77777777" w:rsidR="00C9011D" w:rsidRDefault="00C9011D" w:rsidP="008039D0"/>
        </w:tc>
        <w:tc>
          <w:tcPr>
            <w:tcW w:w="1620" w:type="dxa"/>
            <w:vAlign w:val="center"/>
          </w:tcPr>
          <w:p w14:paraId="6DFB9E20" w14:textId="77777777" w:rsidR="00C9011D" w:rsidRDefault="00C9011D" w:rsidP="008039D0"/>
        </w:tc>
        <w:tc>
          <w:tcPr>
            <w:tcW w:w="1620" w:type="dxa"/>
            <w:vAlign w:val="center"/>
          </w:tcPr>
          <w:p w14:paraId="70DF9E56" w14:textId="77777777" w:rsidR="00C9011D" w:rsidRDefault="00C9011D" w:rsidP="008039D0"/>
        </w:tc>
      </w:tr>
      <w:tr w:rsidR="00224BDF" w14:paraId="6A2A61D5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3D77ADB0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3.2</w:t>
            </w:r>
          </w:p>
          <w:p w14:paraId="1E151847" w14:textId="77777777" w:rsidR="00224BDF" w:rsidRDefault="00224BDF" w:rsidP="008039D0">
            <w:r w:rsidRPr="00224BDF">
              <w:t>Faculty</w:t>
            </w:r>
          </w:p>
        </w:tc>
        <w:tc>
          <w:tcPr>
            <w:tcW w:w="1620" w:type="dxa"/>
            <w:vAlign w:val="center"/>
          </w:tcPr>
          <w:p w14:paraId="44E871BC" w14:textId="77777777" w:rsidR="00224BDF" w:rsidRDefault="00224BDF" w:rsidP="008039D0"/>
        </w:tc>
        <w:tc>
          <w:tcPr>
            <w:tcW w:w="1620" w:type="dxa"/>
            <w:vAlign w:val="center"/>
          </w:tcPr>
          <w:p w14:paraId="144A5D23" w14:textId="77777777" w:rsidR="00224BDF" w:rsidRDefault="00224BDF" w:rsidP="008039D0"/>
        </w:tc>
        <w:tc>
          <w:tcPr>
            <w:tcW w:w="1620" w:type="dxa"/>
            <w:vAlign w:val="center"/>
          </w:tcPr>
          <w:p w14:paraId="738610EB" w14:textId="77777777" w:rsidR="00224BDF" w:rsidRDefault="00224BDF" w:rsidP="008039D0"/>
        </w:tc>
        <w:tc>
          <w:tcPr>
            <w:tcW w:w="1620" w:type="dxa"/>
            <w:vAlign w:val="center"/>
          </w:tcPr>
          <w:p w14:paraId="637805D2" w14:textId="77777777" w:rsidR="00224BDF" w:rsidRDefault="00224BDF" w:rsidP="008039D0"/>
        </w:tc>
        <w:tc>
          <w:tcPr>
            <w:tcW w:w="1620" w:type="dxa"/>
            <w:vAlign w:val="center"/>
          </w:tcPr>
          <w:p w14:paraId="463F29E8" w14:textId="77777777" w:rsidR="00224BDF" w:rsidRDefault="00224BDF" w:rsidP="008039D0"/>
        </w:tc>
        <w:tc>
          <w:tcPr>
            <w:tcW w:w="1620" w:type="dxa"/>
            <w:vAlign w:val="center"/>
          </w:tcPr>
          <w:p w14:paraId="3B7B4B86" w14:textId="77777777" w:rsidR="00224BDF" w:rsidRDefault="00224BDF" w:rsidP="008039D0"/>
        </w:tc>
        <w:tc>
          <w:tcPr>
            <w:tcW w:w="1620" w:type="dxa"/>
            <w:vAlign w:val="center"/>
          </w:tcPr>
          <w:p w14:paraId="3A0FF5F2" w14:textId="77777777" w:rsidR="00224BDF" w:rsidRDefault="00224BDF" w:rsidP="008039D0"/>
        </w:tc>
      </w:tr>
      <w:tr w:rsidR="00224BDF" w14:paraId="780C9127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1DB69759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3.3</w:t>
            </w:r>
          </w:p>
          <w:p w14:paraId="51E9C55E" w14:textId="77777777" w:rsidR="00224BDF" w:rsidRDefault="00224BDF" w:rsidP="008039D0">
            <w:r w:rsidRPr="00224BDF">
              <w:t>Administrative Structure</w:t>
            </w:r>
          </w:p>
        </w:tc>
        <w:tc>
          <w:tcPr>
            <w:tcW w:w="1620" w:type="dxa"/>
            <w:vAlign w:val="center"/>
          </w:tcPr>
          <w:p w14:paraId="5630AD66" w14:textId="77777777" w:rsidR="00224BDF" w:rsidRDefault="00224BDF" w:rsidP="008039D0"/>
        </w:tc>
        <w:tc>
          <w:tcPr>
            <w:tcW w:w="1620" w:type="dxa"/>
            <w:vAlign w:val="center"/>
          </w:tcPr>
          <w:p w14:paraId="61829076" w14:textId="77777777" w:rsidR="00224BDF" w:rsidRDefault="00224BDF" w:rsidP="008039D0"/>
        </w:tc>
        <w:tc>
          <w:tcPr>
            <w:tcW w:w="1620" w:type="dxa"/>
            <w:vAlign w:val="center"/>
          </w:tcPr>
          <w:p w14:paraId="2BA226A1" w14:textId="77777777" w:rsidR="00224BDF" w:rsidRDefault="00224BDF" w:rsidP="008039D0"/>
        </w:tc>
        <w:tc>
          <w:tcPr>
            <w:tcW w:w="1620" w:type="dxa"/>
            <w:vAlign w:val="center"/>
          </w:tcPr>
          <w:p w14:paraId="17AD93B2" w14:textId="77777777" w:rsidR="00224BDF" w:rsidRDefault="00224BDF" w:rsidP="008039D0"/>
        </w:tc>
        <w:tc>
          <w:tcPr>
            <w:tcW w:w="1620" w:type="dxa"/>
            <w:vAlign w:val="center"/>
          </w:tcPr>
          <w:p w14:paraId="0DE4B5B7" w14:textId="77777777" w:rsidR="00224BDF" w:rsidRDefault="00224BDF" w:rsidP="008039D0"/>
        </w:tc>
        <w:tc>
          <w:tcPr>
            <w:tcW w:w="1620" w:type="dxa"/>
            <w:vAlign w:val="center"/>
          </w:tcPr>
          <w:p w14:paraId="66204FF1" w14:textId="77777777" w:rsidR="00224BDF" w:rsidRDefault="00224BDF" w:rsidP="008039D0"/>
        </w:tc>
        <w:tc>
          <w:tcPr>
            <w:tcW w:w="1620" w:type="dxa"/>
            <w:vAlign w:val="center"/>
          </w:tcPr>
          <w:p w14:paraId="2DBF0D7D" w14:textId="77777777" w:rsidR="00224BDF" w:rsidRDefault="00224BDF" w:rsidP="008039D0"/>
        </w:tc>
      </w:tr>
      <w:tr w:rsidR="00224BDF" w14:paraId="29268991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269EBE80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3.4</w:t>
            </w:r>
          </w:p>
          <w:p w14:paraId="1494E2EA" w14:textId="77777777" w:rsidR="00224BDF" w:rsidRDefault="00224BDF" w:rsidP="008039D0">
            <w:r w:rsidRPr="00224BDF">
              <w:t>Resources</w:t>
            </w:r>
          </w:p>
        </w:tc>
        <w:tc>
          <w:tcPr>
            <w:tcW w:w="1620" w:type="dxa"/>
            <w:vAlign w:val="center"/>
          </w:tcPr>
          <w:p w14:paraId="6B62F1B3" w14:textId="77777777" w:rsidR="00224BDF" w:rsidRDefault="00224BDF" w:rsidP="008039D0"/>
        </w:tc>
        <w:tc>
          <w:tcPr>
            <w:tcW w:w="1620" w:type="dxa"/>
            <w:vAlign w:val="center"/>
          </w:tcPr>
          <w:p w14:paraId="02F2C34E" w14:textId="77777777" w:rsidR="00224BDF" w:rsidRDefault="00224BDF" w:rsidP="008039D0"/>
        </w:tc>
        <w:tc>
          <w:tcPr>
            <w:tcW w:w="1620" w:type="dxa"/>
            <w:vAlign w:val="center"/>
          </w:tcPr>
          <w:p w14:paraId="680A4E5D" w14:textId="77777777" w:rsidR="00224BDF" w:rsidRDefault="00224BDF" w:rsidP="008039D0"/>
        </w:tc>
        <w:tc>
          <w:tcPr>
            <w:tcW w:w="1620" w:type="dxa"/>
            <w:vAlign w:val="center"/>
          </w:tcPr>
          <w:p w14:paraId="19219836" w14:textId="77777777" w:rsidR="00224BDF" w:rsidRDefault="00224BDF" w:rsidP="008039D0"/>
        </w:tc>
        <w:tc>
          <w:tcPr>
            <w:tcW w:w="1620" w:type="dxa"/>
            <w:vAlign w:val="center"/>
          </w:tcPr>
          <w:p w14:paraId="296FEF7D" w14:textId="77777777" w:rsidR="00224BDF" w:rsidRDefault="00224BDF" w:rsidP="008039D0"/>
        </w:tc>
        <w:tc>
          <w:tcPr>
            <w:tcW w:w="1620" w:type="dxa"/>
            <w:vAlign w:val="center"/>
          </w:tcPr>
          <w:p w14:paraId="7194DBDC" w14:textId="77777777" w:rsidR="00224BDF" w:rsidRDefault="00224BDF" w:rsidP="008039D0"/>
        </w:tc>
        <w:tc>
          <w:tcPr>
            <w:tcW w:w="1620" w:type="dxa"/>
            <w:vAlign w:val="center"/>
          </w:tcPr>
          <w:p w14:paraId="769D0D3C" w14:textId="77777777" w:rsidR="00224BDF" w:rsidRDefault="00224BDF" w:rsidP="008039D0"/>
        </w:tc>
      </w:tr>
      <w:tr w:rsidR="00224BDF" w14:paraId="22811229" w14:textId="77777777" w:rsidTr="008039D0">
        <w:trPr>
          <w:trHeight w:val="720"/>
        </w:trPr>
        <w:tc>
          <w:tcPr>
            <w:tcW w:w="3145" w:type="dxa"/>
            <w:vAlign w:val="center"/>
          </w:tcPr>
          <w:p w14:paraId="1F6B2BC5" w14:textId="77777777" w:rsidR="00224BDF" w:rsidRPr="008039D0" w:rsidRDefault="00224BDF" w:rsidP="008039D0">
            <w:pPr>
              <w:rPr>
                <w:b/>
              </w:rPr>
            </w:pPr>
            <w:r w:rsidRPr="008039D0">
              <w:rPr>
                <w:b/>
              </w:rPr>
              <w:t>4.0</w:t>
            </w:r>
          </w:p>
          <w:p w14:paraId="5AEEA579" w14:textId="77777777" w:rsidR="00224BDF" w:rsidRPr="00224BDF" w:rsidRDefault="00224BDF" w:rsidP="008039D0">
            <w:r w:rsidRPr="00224BDF">
              <w:t>Assessment</w:t>
            </w:r>
          </w:p>
        </w:tc>
        <w:tc>
          <w:tcPr>
            <w:tcW w:w="1620" w:type="dxa"/>
            <w:vAlign w:val="center"/>
          </w:tcPr>
          <w:p w14:paraId="54CD245A" w14:textId="77777777" w:rsidR="00224BDF" w:rsidRDefault="00224BDF" w:rsidP="008039D0"/>
        </w:tc>
        <w:tc>
          <w:tcPr>
            <w:tcW w:w="1620" w:type="dxa"/>
            <w:vAlign w:val="center"/>
          </w:tcPr>
          <w:p w14:paraId="1231BE67" w14:textId="77777777" w:rsidR="00224BDF" w:rsidRDefault="00224BDF" w:rsidP="008039D0"/>
        </w:tc>
        <w:tc>
          <w:tcPr>
            <w:tcW w:w="1620" w:type="dxa"/>
            <w:vAlign w:val="center"/>
          </w:tcPr>
          <w:p w14:paraId="36FEB5B0" w14:textId="77777777" w:rsidR="00224BDF" w:rsidRDefault="00224BDF" w:rsidP="008039D0"/>
        </w:tc>
        <w:tc>
          <w:tcPr>
            <w:tcW w:w="1620" w:type="dxa"/>
            <w:vAlign w:val="center"/>
          </w:tcPr>
          <w:p w14:paraId="30D7AA69" w14:textId="77777777" w:rsidR="00224BDF" w:rsidRDefault="00224BDF" w:rsidP="008039D0"/>
        </w:tc>
        <w:tc>
          <w:tcPr>
            <w:tcW w:w="1620" w:type="dxa"/>
            <w:vAlign w:val="center"/>
          </w:tcPr>
          <w:p w14:paraId="7196D064" w14:textId="77777777" w:rsidR="00224BDF" w:rsidRDefault="00224BDF" w:rsidP="008039D0"/>
        </w:tc>
        <w:tc>
          <w:tcPr>
            <w:tcW w:w="1620" w:type="dxa"/>
            <w:vAlign w:val="center"/>
          </w:tcPr>
          <w:p w14:paraId="34FF1C98" w14:textId="77777777" w:rsidR="00224BDF" w:rsidRDefault="00224BDF" w:rsidP="008039D0"/>
        </w:tc>
        <w:tc>
          <w:tcPr>
            <w:tcW w:w="1620" w:type="dxa"/>
            <w:vAlign w:val="center"/>
          </w:tcPr>
          <w:p w14:paraId="6D072C0D" w14:textId="77777777" w:rsidR="00224BDF" w:rsidRDefault="00224BDF" w:rsidP="008039D0"/>
        </w:tc>
      </w:tr>
    </w:tbl>
    <w:p w14:paraId="6BD18F9B" w14:textId="530E8BE9" w:rsidR="00C9011D" w:rsidRPr="00C9011D" w:rsidRDefault="009F5D1D" w:rsidP="00E63B8E">
      <w:pPr>
        <w:rPr>
          <w:i/>
        </w:rPr>
      </w:pPr>
      <w:r>
        <w:rPr>
          <w:i/>
        </w:rPr>
        <w:t>*</w:t>
      </w:r>
      <w:r w:rsidR="006E3BFC">
        <w:rPr>
          <w:i/>
        </w:rPr>
        <w:t xml:space="preserve">Consider selecting a final editor to review the entire accreditation document and give the narrative one consistent voice. </w:t>
      </w:r>
    </w:p>
    <w:sectPr w:rsidR="00C9011D" w:rsidRPr="00C9011D" w:rsidSect="00B36F4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B4AB" w14:textId="77777777" w:rsidR="00BD2AC4" w:rsidRDefault="00BD2AC4" w:rsidP="00C9011D">
      <w:pPr>
        <w:spacing w:after="0" w:line="240" w:lineRule="auto"/>
      </w:pPr>
      <w:r>
        <w:separator/>
      </w:r>
    </w:p>
  </w:endnote>
  <w:endnote w:type="continuationSeparator" w:id="0">
    <w:p w14:paraId="0AD9C6F4" w14:textId="77777777" w:rsidR="00BD2AC4" w:rsidRDefault="00BD2AC4" w:rsidP="00C9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61829D01" w14:textId="77777777" w:rsidR="00E63B8E" w:rsidRPr="0067298F" w:rsidRDefault="00E63B8E" w:rsidP="00E63B8E">
        <w:pPr>
          <w:pStyle w:val="Footer"/>
          <w:jc w:val="right"/>
          <w:rPr>
            <w:rFonts w:cs="Arial"/>
            <w:b/>
            <w:bCs/>
            <w:sz w:val="22"/>
            <w:szCs w:val="22"/>
          </w:rPr>
        </w:pPr>
        <w:r w:rsidRPr="0067298F">
          <w:rPr>
            <w:rFonts w:cs="Arial"/>
            <w:sz w:val="22"/>
            <w:szCs w:val="22"/>
          </w:rPr>
          <w:t xml:space="preserve">Page </w:t>
        </w:r>
        <w:r w:rsidRPr="0067298F">
          <w:rPr>
            <w:rFonts w:cs="Arial"/>
            <w:b/>
            <w:bCs/>
            <w:sz w:val="22"/>
            <w:szCs w:val="22"/>
          </w:rPr>
          <w:fldChar w:fldCharType="begin"/>
        </w:r>
        <w:r w:rsidRPr="0067298F">
          <w:rPr>
            <w:rFonts w:cs="Arial"/>
            <w:b/>
            <w:bCs/>
            <w:sz w:val="22"/>
            <w:szCs w:val="22"/>
          </w:rPr>
          <w:instrText xml:space="preserve"> PAGE </w:instrText>
        </w:r>
        <w:r w:rsidRPr="0067298F">
          <w:rPr>
            <w:rFonts w:cs="Arial"/>
            <w:b/>
            <w:bCs/>
            <w:sz w:val="22"/>
            <w:szCs w:val="22"/>
          </w:rPr>
          <w:fldChar w:fldCharType="separate"/>
        </w:r>
        <w:r>
          <w:rPr>
            <w:rFonts w:cs="Arial"/>
            <w:b/>
            <w:bCs/>
            <w:sz w:val="22"/>
            <w:szCs w:val="22"/>
          </w:rPr>
          <w:t>1</w:t>
        </w:r>
        <w:r w:rsidRPr="0067298F">
          <w:rPr>
            <w:rFonts w:cs="Arial"/>
            <w:b/>
            <w:bCs/>
            <w:sz w:val="22"/>
            <w:szCs w:val="22"/>
          </w:rPr>
          <w:fldChar w:fldCharType="end"/>
        </w:r>
        <w:r w:rsidRPr="0067298F">
          <w:rPr>
            <w:rFonts w:cs="Arial"/>
            <w:sz w:val="22"/>
            <w:szCs w:val="22"/>
          </w:rPr>
          <w:t xml:space="preserve"> of </w:t>
        </w:r>
        <w:r w:rsidRPr="0067298F">
          <w:rPr>
            <w:rFonts w:cs="Arial"/>
            <w:b/>
            <w:bCs/>
            <w:sz w:val="22"/>
            <w:szCs w:val="22"/>
          </w:rPr>
          <w:fldChar w:fldCharType="begin"/>
        </w:r>
        <w:r w:rsidRPr="0067298F">
          <w:rPr>
            <w:rFonts w:cs="Arial"/>
            <w:b/>
            <w:bCs/>
            <w:sz w:val="22"/>
            <w:szCs w:val="22"/>
          </w:rPr>
          <w:instrText xml:space="preserve"> NUMPAGES  </w:instrText>
        </w:r>
        <w:r w:rsidRPr="0067298F">
          <w:rPr>
            <w:rFonts w:cs="Arial"/>
            <w:b/>
            <w:bCs/>
            <w:sz w:val="22"/>
            <w:szCs w:val="22"/>
          </w:rPr>
          <w:fldChar w:fldCharType="separate"/>
        </w:r>
        <w:r>
          <w:rPr>
            <w:rFonts w:cs="Arial"/>
            <w:b/>
            <w:bCs/>
            <w:sz w:val="22"/>
            <w:szCs w:val="22"/>
          </w:rPr>
          <w:t>3</w:t>
        </w:r>
        <w:r w:rsidRPr="0067298F">
          <w:rPr>
            <w:rFonts w:cs="Arial"/>
            <w:b/>
            <w:bCs/>
            <w:sz w:val="22"/>
            <w:szCs w:val="22"/>
          </w:rPr>
          <w:fldChar w:fldCharType="end"/>
        </w:r>
      </w:p>
      <w:p w14:paraId="4B1F511A" w14:textId="21A0E364" w:rsidR="00C9011D" w:rsidRDefault="00E63B8E" w:rsidP="00E63B8E">
        <w:pPr>
          <w:pStyle w:val="Footer"/>
          <w:jc w:val="right"/>
        </w:pPr>
        <w:r w:rsidRPr="0067298F">
          <w:rPr>
            <w:rFonts w:cs="Arial"/>
            <w:bCs/>
            <w:i/>
            <w:color w:val="808080" w:themeColor="background1" w:themeShade="80"/>
            <w:sz w:val="22"/>
            <w:szCs w:val="22"/>
          </w:rPr>
          <w:t xml:space="preserve">updated </w:t>
        </w:r>
        <w:r>
          <w:rPr>
            <w:rFonts w:cs="Arial"/>
            <w:bCs/>
            <w:i/>
            <w:color w:val="808080" w:themeColor="background1" w:themeShade="80"/>
            <w:sz w:val="22"/>
            <w:szCs w:val="22"/>
          </w:rPr>
          <w:t>5.6.19 KGL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9C3DC" w14:textId="77777777" w:rsidR="00BD2AC4" w:rsidRDefault="00BD2AC4" w:rsidP="00C9011D">
      <w:pPr>
        <w:spacing w:after="0" w:line="240" w:lineRule="auto"/>
      </w:pPr>
      <w:r>
        <w:separator/>
      </w:r>
    </w:p>
  </w:footnote>
  <w:footnote w:type="continuationSeparator" w:id="0">
    <w:p w14:paraId="5023141B" w14:textId="77777777" w:rsidR="00BD2AC4" w:rsidRDefault="00BD2AC4" w:rsidP="00C9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01FE" w14:textId="559CBA38" w:rsidR="00C9011D" w:rsidRDefault="00C90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75D1" w14:textId="78A0CDC8" w:rsidR="00C9011D" w:rsidRDefault="00C90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B5D1" w14:textId="7C43F1B5" w:rsidR="00C9011D" w:rsidRDefault="00C90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0317"/>
    <w:multiLevelType w:val="hybridMultilevel"/>
    <w:tmpl w:val="62EE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FA"/>
    <w:rsid w:val="00047B1E"/>
    <w:rsid w:val="000A60FA"/>
    <w:rsid w:val="00224BDF"/>
    <w:rsid w:val="002E5D32"/>
    <w:rsid w:val="00461718"/>
    <w:rsid w:val="0046662B"/>
    <w:rsid w:val="006B159D"/>
    <w:rsid w:val="006E3BFC"/>
    <w:rsid w:val="00765150"/>
    <w:rsid w:val="00773920"/>
    <w:rsid w:val="008039D0"/>
    <w:rsid w:val="008B49ED"/>
    <w:rsid w:val="009E11F5"/>
    <w:rsid w:val="009F5D1D"/>
    <w:rsid w:val="00A07443"/>
    <w:rsid w:val="00AE24DB"/>
    <w:rsid w:val="00B36F4D"/>
    <w:rsid w:val="00B4668F"/>
    <w:rsid w:val="00BA7126"/>
    <w:rsid w:val="00BC5853"/>
    <w:rsid w:val="00BD2AC4"/>
    <w:rsid w:val="00BE6A31"/>
    <w:rsid w:val="00C32918"/>
    <w:rsid w:val="00C9011D"/>
    <w:rsid w:val="00E63B8E"/>
    <w:rsid w:val="00E8272F"/>
    <w:rsid w:val="00F00541"/>
    <w:rsid w:val="0E73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C7BD0D"/>
  <w15:chartTrackingRefBased/>
  <w15:docId w15:val="{DE2F3E06-AAE9-4B09-A2D2-450F3B48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1D"/>
  </w:style>
  <w:style w:type="paragraph" w:styleId="Footer">
    <w:name w:val="footer"/>
    <w:basedOn w:val="Normal"/>
    <w:link w:val="FooterChar"/>
    <w:uiPriority w:val="99"/>
    <w:unhideWhenUsed/>
    <w:rsid w:val="00C9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1D"/>
  </w:style>
  <w:style w:type="character" w:styleId="Hyperlink">
    <w:name w:val="Hyperlink"/>
    <w:basedOn w:val="DefaultParagraphFont"/>
    <w:uiPriority w:val="99"/>
    <w:unhideWhenUsed/>
    <w:rsid w:val="00B36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F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6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w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Katie Gibson</cp:lastModifiedBy>
  <cp:revision>20</cp:revision>
  <dcterms:created xsi:type="dcterms:W3CDTF">2019-05-02T20:10:00Z</dcterms:created>
  <dcterms:modified xsi:type="dcterms:W3CDTF">2019-10-30T17:49:00Z</dcterms:modified>
</cp:coreProperties>
</file>